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185F" w:rsidRDefault="0039467F">
      <w:pPr>
        <w:pStyle w:val="ConsPlusNormal"/>
        <w:jc w:val="right"/>
        <w:outlineLvl w:val="0"/>
      </w:pPr>
      <w:r>
        <w:t>Приложение N ____</w:t>
      </w:r>
    </w:p>
    <w:p w:rsidR="004C185F" w:rsidRDefault="0039467F">
      <w:pPr>
        <w:pStyle w:val="ConsPlusNormal"/>
        <w:jc w:val="right"/>
      </w:pPr>
      <w:r>
        <w:t>к государственной программе</w:t>
      </w:r>
    </w:p>
    <w:p w:rsidR="004C185F" w:rsidRDefault="004C185F">
      <w:pPr>
        <w:pStyle w:val="ConsPlusNormal"/>
        <w:jc w:val="both"/>
      </w:pPr>
    </w:p>
    <w:p w:rsidR="004C185F" w:rsidRDefault="0039467F">
      <w:pPr>
        <w:pStyle w:val="ConsPlusTitle"/>
        <w:jc w:val="center"/>
      </w:pPr>
      <w:r>
        <w:t>ПРОЕКТ ПРАВИЛ</w:t>
      </w:r>
    </w:p>
    <w:p w:rsidR="004C185F" w:rsidRDefault="0039467F">
      <w:pPr>
        <w:pStyle w:val="ConsPlusTitle"/>
        <w:jc w:val="center"/>
      </w:pPr>
      <w:r>
        <w:t>ПРЕДОСТАВЛЕНИЯ И РАСПРЕДЕЛЕНИЯ ИНОГО МЕЖБЮДЖЕТНОГО</w:t>
      </w:r>
    </w:p>
    <w:p w:rsidR="004C185F" w:rsidRDefault="0039467F">
      <w:pPr>
        <w:pStyle w:val="ConsPlusTitle"/>
        <w:jc w:val="center"/>
      </w:pPr>
      <w:r>
        <w:t>ТРАНСФЕРТА ИЗ ОБЛАСТНОГО БЮДЖЕТА МЕСТНЫМ БЮДЖЕТАМ</w:t>
      </w:r>
    </w:p>
    <w:p w:rsidR="004C185F" w:rsidRDefault="0039467F">
      <w:pPr>
        <w:pStyle w:val="ConsPlusTitle"/>
        <w:jc w:val="center"/>
      </w:pPr>
      <w:r>
        <w:t>НА РЕАЛИЗАЦИЮ МЕРОПРИЯТИЙ В РАМКАХ ИНФРАСТРУКТУРНЫХ ПРОЕКТОВ</w:t>
      </w:r>
    </w:p>
    <w:p w:rsidR="004C185F" w:rsidRDefault="0039467F">
      <w:pPr>
        <w:pStyle w:val="ConsPlusTitle"/>
        <w:jc w:val="center"/>
      </w:pPr>
      <w:r>
        <w:t>МУРМАНСКОЙ ОБЛАСТИ, ИСТОЧНИКОМ ФИНАНСОВОГО ОБЕСПЕЧЕНИЯ</w:t>
      </w:r>
    </w:p>
    <w:p w:rsidR="004C185F" w:rsidRDefault="0039467F">
      <w:pPr>
        <w:pStyle w:val="ConsPlusTitle"/>
        <w:jc w:val="center"/>
      </w:pPr>
      <w:r>
        <w:t>РАСХОДОВ НА РЕАЛИЗАЦИЮ КОТОРЫХ ЯВЛЯЕТСЯ БЮДЖЕТНЫЙ КРЕДИТ</w:t>
      </w:r>
    </w:p>
    <w:p w:rsidR="004C185F" w:rsidRDefault="004C185F">
      <w:pPr>
        <w:pStyle w:val="ConsPlusNormal"/>
        <w:jc w:val="both"/>
      </w:pPr>
    </w:p>
    <w:p w:rsidR="004C185F" w:rsidRDefault="0039467F">
      <w:pPr>
        <w:pStyle w:val="ConsPlusNormal"/>
        <w:ind w:firstLine="540"/>
        <w:jc w:val="both"/>
      </w:pPr>
      <w:r>
        <w:t xml:space="preserve">1. Настоящие Правила устанавливают порядок, цели и условия предоставления и распределения иного межбюджетного трансферта из областного бюджета </w:t>
      </w:r>
      <w:r>
        <w:t xml:space="preserve">местным бюджетам на реализацию инфраструктурных проектов (мероприятий) Мурманской области, источником финансового обеспечения расходов на реализацию которых является бюджетный кредит на финансовое обеспечение реализации </w:t>
      </w:r>
      <w:r>
        <w:t>инфраструктурных проектов</w:t>
      </w:r>
      <w:r>
        <w:t xml:space="preserve"> (мероприятий) за счет временно свободных средств единого счета федерального бюджета (далее - трансферт).</w:t>
      </w:r>
    </w:p>
    <w:p w:rsidR="004C185F" w:rsidRDefault="0039467F">
      <w:pPr>
        <w:pStyle w:val="ConsPlusNormal"/>
        <w:spacing w:before="240"/>
        <w:ind w:firstLine="540"/>
        <w:jc w:val="both"/>
      </w:pPr>
      <w:bookmarkStart w:id="0" w:name="P12"/>
      <w:bookmarkEnd w:id="0"/>
      <w:r>
        <w:t>2. Трансферт предоставляется в целях софинансирования в полном объеме расходных обязательств муниципального образования, возникающих при выполнении по</w:t>
      </w:r>
      <w:r>
        <w:t>лномочий органа местного самоуправления муниципального образования по решению вопросов местного значения при реализации мероприятий в рамках инфраструктурного проекта "Создание инженерной и транспортной инфраструктуры для обеспечения реализации инвестицион</w:t>
      </w:r>
      <w:r>
        <w:t>ных проектов по строительству коллективных средств размещения в районе туристско-рекреационной зоны по ул. Ботанический сад в городе Кировске ("Поле Умецкого"), включенных в Детализированный перечень мероприятий, реализуемых в рамках инфраструктурных проек</w:t>
      </w:r>
      <w:r>
        <w:t>тов Мурманской области, отобранных в соответствии с постановлением Правительства Российской Федерации от 14.07.2021 N 1189, утвержденный постановлением Правительства Мурманской области от 19.04.2024 N 253-ПП "О вопросах реализации мероприятий в рамках инфр</w:t>
      </w:r>
      <w:r>
        <w:t>аструктурных проектов Мурманской области, источником финансового обеспечения расходов на реализацию которых является инфраструктурный бюджетный кредит" (далее - Детализированный перечень мероприятий), в рамках государственной программы Мурманской области "</w:t>
      </w:r>
      <w:r>
        <w:t>Экономический потенциал", утвержденной постановлением Правительства Мурманской области от 11.11.2020 N 780-ПП. Реализация мероприятий осуществляется в форме бюджетных инвестиций в объекты капитального строительства муниципальной собственности.</w:t>
      </w:r>
    </w:p>
    <w:p w:rsidR="004C185F" w:rsidRDefault="0039467F">
      <w:pPr>
        <w:pStyle w:val="ConsPlusNormal"/>
        <w:spacing w:before="240"/>
        <w:ind w:firstLine="540"/>
        <w:jc w:val="both"/>
      </w:pPr>
      <w:r>
        <w:t>3. Трансферт</w:t>
      </w:r>
      <w:r>
        <w:t xml:space="preserve"> предоставляется муниципальному образованию в пределах лимитов бюджетных обязательств, на цели, указанные в </w:t>
      </w:r>
      <w:hyperlink w:anchor="P12" w:tooltip="2. Трансферт предоставляется в целях софинансирования в полном объеме расходных обязательств муниципального образования, возникающих при выполнении полномочий органа местного самоуправления муниципального образования по решению вопросов местного значения при р" w:history="1">
        <w:r>
          <w:rPr>
            <w:color w:val="0000FF"/>
          </w:rPr>
          <w:t>пункте 2</w:t>
        </w:r>
      </w:hyperlink>
      <w:r>
        <w:t xml:space="preserve"> настоящих Правил, доведенных до Министерства энергетики и жилищно-коммунального хозяйства Мурманской облас</w:t>
      </w:r>
      <w:r>
        <w:t>ти, Министерства транспорта и дорожного хозяйства Мурманской области, являющихся главными распорядителями бюджетных средств (далее - ГРБС).</w:t>
      </w:r>
    </w:p>
    <w:p w:rsidR="004C185F" w:rsidRDefault="0039467F">
      <w:pPr>
        <w:pStyle w:val="ConsPlusNormal"/>
        <w:spacing w:before="240"/>
        <w:ind w:firstLine="540"/>
        <w:jc w:val="both"/>
      </w:pPr>
      <w:r>
        <w:t>4. Критерием отбора муниципального образования для предоставления трансферта является наличие у муниципального образ</w:t>
      </w:r>
      <w:r>
        <w:t>ования мероприятий, включенных в Детализированный перечень мероприятий.</w:t>
      </w:r>
    </w:p>
    <w:p w:rsidR="004C185F" w:rsidRDefault="0039467F">
      <w:pPr>
        <w:pStyle w:val="ConsPlusNormal"/>
        <w:spacing w:before="240"/>
        <w:ind w:firstLine="540"/>
        <w:jc w:val="both"/>
      </w:pPr>
      <w:r>
        <w:t>5. Условиями предоставления трансферта из областного бюджета бюджету муниципального образования являются:</w:t>
      </w:r>
    </w:p>
    <w:p w:rsidR="004C185F" w:rsidRDefault="0039467F">
      <w:pPr>
        <w:pStyle w:val="ConsPlusNormal"/>
        <w:spacing w:before="240"/>
        <w:ind w:firstLine="540"/>
        <w:jc w:val="both"/>
      </w:pPr>
      <w:bookmarkStart w:id="1" w:name="P16"/>
      <w:bookmarkEnd w:id="1"/>
      <w:r>
        <w:t>1) наличие муниципального правового акта муниципального образования, утверждаю</w:t>
      </w:r>
      <w:r>
        <w:t>щего перечень мероприятий, в целях софинансирования которых предоставляется трансферт;</w:t>
      </w:r>
    </w:p>
    <w:p w:rsidR="004C185F" w:rsidRDefault="0039467F">
      <w:pPr>
        <w:pStyle w:val="ConsPlusNormal"/>
        <w:spacing w:before="240"/>
        <w:ind w:firstLine="540"/>
        <w:jc w:val="both"/>
      </w:pPr>
      <w:r>
        <w:t>2) заключение соглашения о предоставлении трансферта между ГРБС и муниципальным образованием (далее - соглашение);</w:t>
      </w:r>
    </w:p>
    <w:p w:rsidR="004C185F" w:rsidRDefault="0039467F">
      <w:pPr>
        <w:pStyle w:val="ConsPlusNormal"/>
        <w:spacing w:before="240"/>
        <w:ind w:firstLine="540"/>
        <w:jc w:val="both"/>
      </w:pPr>
      <w:r>
        <w:t>3) если за счет средств трансферта заказчиками, муници</w:t>
      </w:r>
      <w:r>
        <w:t>пальными бюджетными учреждениями, муниципальными унитарными предприятиями (за исключением автономных учреждений) осуществляются закупки товаров, работ, услуг открытыми конкурентными способами определения поставщиков (подрядчиков, исполнителей) (далее - зак</w:t>
      </w:r>
      <w:r>
        <w:t>упка), обязательным условием предоставления трансферта является централизация закупок в соответствии с частью 7 статьи 26 Федерального закона от 05.04.2013 N 44-ФЗ "О контрактной системе в сфере закупок товаров, работ, услуг для обеспечения государственных</w:t>
      </w:r>
      <w:r>
        <w:t xml:space="preserve"> и муниципальных нужд", и определение поставщиков (подрядчиков, исполнителей) осуществляется уполномоченным органом, уполномоченным учреждением, полномочия которого определены решением Правительства Мурманской области.</w:t>
      </w:r>
    </w:p>
    <w:p w:rsidR="004C185F" w:rsidRDefault="0039467F">
      <w:pPr>
        <w:pStyle w:val="ConsPlusNormal"/>
        <w:spacing w:before="240"/>
        <w:ind w:firstLine="540"/>
        <w:jc w:val="both"/>
      </w:pPr>
      <w:r>
        <w:t>6. Уровень софинансирования реализаци</w:t>
      </w:r>
      <w:r>
        <w:t>и мероприятий за счет трансферта устанавливается в размере 100 %.</w:t>
      </w:r>
    </w:p>
    <w:p w:rsidR="004C185F" w:rsidRDefault="0039467F">
      <w:pPr>
        <w:pStyle w:val="ConsPlusNormal"/>
        <w:spacing w:before="240"/>
        <w:ind w:firstLine="540"/>
        <w:jc w:val="both"/>
      </w:pPr>
      <w:r>
        <w:t>7. В случае если объем бюджетных ассигнований в местном бюджете на исполнение расходного обязательства муниципального образования предусмотрен в объеме, превышающем размер расходного обязате</w:t>
      </w:r>
      <w:r>
        <w:t>льства муниципального образования, в целях софинансирования которого предоставляется трансферт, то указанные бюджетные ассигнования предусматриваются по иным кодам классификации расходов, отличным от кодов классификации расходов местных бюджетов, по которы</w:t>
      </w:r>
      <w:r>
        <w:t>м предусмотрены бюджетные ассигнования на исполнение расходного обязательства муниципального образования, софинансируемого из областного бюджета.</w:t>
      </w:r>
    </w:p>
    <w:p w:rsidR="004C185F" w:rsidRDefault="0039467F">
      <w:pPr>
        <w:pStyle w:val="ConsPlusNormal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540"/>
        <w:jc w:val="both"/>
      </w:pPr>
      <w:r>
        <w:t>8. Источником финансового обеспечения трансферта являются средства областного бюджета, полученные из федерального бюджета в виде бюдж</w:t>
      </w:r>
      <w:r>
        <w:t xml:space="preserve">етных кредитов на финансовое обеспечение реализации инфраструктурных проектов в соответствии с </w:t>
      </w:r>
      <w:r>
        <w:rPr>
          <w:color w:val="000000" w:themeColor="text1"/>
        </w:rPr>
        <w:t>Правила</w:t>
      </w:r>
      <w:r>
        <w:rPr>
          <w:color w:val="000000" w:themeColor="text1"/>
        </w:rPr>
        <w:t>ми</w:t>
      </w:r>
      <w:r>
        <w:rPr>
          <w:color w:val="000000"/>
        </w:rPr>
        <w:t xml:space="preserve"> отбора (одобрения</w:t>
      </w:r>
      <w:r>
        <w:rPr>
          <w:color w:val="000000"/>
        </w:rPr>
        <w:t>) инфраструктурных проектов (мероприятий), источником финансового обеспечения расходов на реализацию которых являются бюджетные кредиты на финансовое обеспечение реализации инфраструктурных проектов за счет временно свободных средств единого счета федераль</w:t>
      </w:r>
      <w:r>
        <w:rPr>
          <w:color w:val="000000"/>
        </w:rPr>
        <w:t>ного бюджета, и изменения параметров (характеристик) отобранных (одобренных) инфраструктурных проектов (мероприятий)</w:t>
      </w:r>
      <w:r>
        <w:t>, утвержденными постановлением Правительства Российской Федерации от 28.04.2025 N 566.</w:t>
      </w:r>
    </w:p>
    <w:p w:rsidR="004C185F" w:rsidRDefault="0039467F">
      <w:pPr>
        <w:pStyle w:val="ConsPlusNormal"/>
        <w:spacing w:before="240"/>
        <w:ind w:firstLine="540"/>
        <w:jc w:val="both"/>
      </w:pPr>
      <w:r>
        <w:t>9. Трансферт предоставляется бюджету муниципального о</w:t>
      </w:r>
      <w:r>
        <w:t>бразования на основании соглашения, заключенного между ГРБС и администрацией муниципального образования.</w:t>
      </w:r>
    </w:p>
    <w:p w:rsidR="004C185F" w:rsidRDefault="0039467F">
      <w:pPr>
        <w:pStyle w:val="ConsPlusNormal"/>
        <w:spacing w:before="240"/>
        <w:ind w:firstLine="540"/>
        <w:jc w:val="both"/>
      </w:pPr>
      <w:r>
        <w:t>В соглашение подлежат включению следующие обязательства:</w:t>
      </w:r>
    </w:p>
    <w:p w:rsidR="004C185F" w:rsidRDefault="0039467F">
      <w:pPr>
        <w:pStyle w:val="ConsPlusNormal"/>
        <w:spacing w:before="240"/>
        <w:ind w:firstLine="540"/>
        <w:jc w:val="both"/>
      </w:pPr>
      <w:r>
        <w:t>- осуществление Федеральным казначейством в соответствии с бюджетным законодательством Российс</w:t>
      </w:r>
      <w:r>
        <w:t>кой Федерации казначейского сопровождения средств трансферта;</w:t>
      </w:r>
    </w:p>
    <w:p w:rsidR="004C185F" w:rsidRDefault="0039467F">
      <w:pPr>
        <w:pStyle w:val="ConsPlusNormal"/>
        <w:spacing w:before="240"/>
        <w:ind w:firstLine="540"/>
        <w:jc w:val="both"/>
      </w:pPr>
      <w:r>
        <w:t>- осуществление строительного контроля федеральным бюджетным учреждением "Федеральный центр строительного контроля";</w:t>
      </w:r>
    </w:p>
    <w:p w:rsidR="004C185F" w:rsidRDefault="0039467F">
      <w:pPr>
        <w:pStyle w:val="ConsPlusNormal"/>
        <w:spacing w:before="240"/>
        <w:ind w:firstLine="540"/>
        <w:jc w:val="both"/>
      </w:pPr>
      <w:r>
        <w:t>- указание аналитических кодов, формируемых Федеральным казначейством в муниц</w:t>
      </w:r>
      <w:r>
        <w:t>ипальных контрактах (договорах), а также в распоряжениях о совершении казначейских платежей;</w:t>
      </w:r>
    </w:p>
    <w:p w:rsidR="004C185F" w:rsidRDefault="0039467F">
      <w:pPr>
        <w:pStyle w:val="ConsPlusNormal"/>
        <w:spacing w:before="240"/>
        <w:ind w:firstLine="540"/>
        <w:jc w:val="both"/>
      </w:pPr>
      <w:r>
        <w:t>- в случае внесения изменений в Детализированный перечень мероприятий, повлекших уточнение отдельных параметров утвержденного мероприятия или его замену, а также и</w:t>
      </w:r>
      <w:r>
        <w:t>зменение сроков реализации утвержденных мероприятий, заключается дополнительное соглашение к соглашению, с отражением в приложении к указанному дополнительному соглашению соответствующих изменений, в том числе в отношении значений показателей результативно</w:t>
      </w:r>
      <w:r>
        <w:t>сти утвержденного мероприятия.</w:t>
      </w:r>
    </w:p>
    <w:p w:rsidR="004C185F" w:rsidRDefault="0039467F">
      <w:pPr>
        <w:pStyle w:val="ConsPlusNormal"/>
        <w:spacing w:before="240"/>
        <w:ind w:firstLine="540"/>
        <w:jc w:val="both"/>
      </w:pPr>
      <w:r>
        <w:t>В случае внесения изменений в сводную бюджетную роспись, предусматривающих уточнение в соответствующем финансовом году объемов бюджетных ассигнований на предоставление трансферта, в соглашение вносятся соответствующие изменен</w:t>
      </w:r>
      <w:r>
        <w:t>ия.</w:t>
      </w:r>
    </w:p>
    <w:p w:rsidR="004C185F" w:rsidRDefault="0039467F">
      <w:pPr>
        <w:pStyle w:val="ConsPlusNormal"/>
        <w:spacing w:before="240"/>
        <w:ind w:firstLine="540"/>
        <w:jc w:val="both"/>
      </w:pPr>
      <w:r>
        <w:t xml:space="preserve">10. В целях заключения соглашения муниципальное образование предоставляет ГРБС документы, подтверждающие соблюдение условий предоставления трансферта, предусмотренных </w:t>
      </w:r>
      <w:hyperlink w:anchor="P16" w:tooltip="1) наличие муниципального правового акта муниципального образования, утверждающего перечень мероприятий, в целях софинансирования которых предоставляется трансферт;" w:history="1">
        <w:r>
          <w:rPr>
            <w:color w:val="0000FF"/>
          </w:rPr>
          <w:t>подпунктом 1 пункта 5</w:t>
        </w:r>
      </w:hyperlink>
      <w:r>
        <w:t xml:space="preserve"> настоящих Правил.</w:t>
      </w:r>
    </w:p>
    <w:p w:rsidR="004C185F" w:rsidRDefault="0039467F">
      <w:pPr>
        <w:pStyle w:val="ConsPlusNormal"/>
        <w:spacing w:before="240"/>
        <w:ind w:firstLine="540"/>
        <w:jc w:val="both"/>
      </w:pPr>
      <w:r>
        <w:t>11. Предоставление трансферта осуществляется на основании соглашения, подготавливаемого (формируемого) и зак</w:t>
      </w:r>
      <w:r>
        <w:t>лючаемого в программном комплексе "Реестр соглашений" электронной системы "Web-Бюджет" (далее - программный комплекс).</w:t>
      </w:r>
    </w:p>
    <w:p w:rsidR="004C185F" w:rsidRDefault="0039467F">
      <w:pPr>
        <w:pStyle w:val="ConsPlusNormal"/>
        <w:spacing w:before="240"/>
        <w:ind w:firstLine="540"/>
        <w:jc w:val="both"/>
      </w:pPr>
      <w:r>
        <w:t>Соглашение о предоставлении иного межбюджетного трансферта из областного бюджета местным бюджетам и дополнительные соглашения к указанным</w:t>
      </w:r>
      <w:r>
        <w:t xml:space="preserve"> соглашениям, предусматривающие внесение в них изменений или их расторжение, заключаются в соответствии с типовыми формами, утверждаемыми Министерством финансов Мурманской области.</w:t>
      </w:r>
    </w:p>
    <w:p w:rsidR="004C185F" w:rsidRDefault="0039467F">
      <w:pPr>
        <w:pStyle w:val="ConsPlusNormal"/>
        <w:spacing w:before="240"/>
        <w:ind w:firstLine="540"/>
        <w:jc w:val="both"/>
      </w:pPr>
      <w:r>
        <w:t>12. Размер трансферта муниципальному образованию и срок выполнения мероприя</w:t>
      </w:r>
      <w:r>
        <w:t>тий определяется в соответствии с Детализированным перечнем мероприятий.</w:t>
      </w:r>
    </w:p>
    <w:p w:rsidR="004C185F" w:rsidRDefault="0039467F">
      <w:pPr>
        <w:pStyle w:val="ConsPlusNormal"/>
        <w:spacing w:before="240"/>
        <w:ind w:firstLine="540"/>
        <w:jc w:val="both"/>
      </w:pPr>
      <w:r>
        <w:t>13. Показатели результативности использования трансферта устанавливаются соглашением. ГРБС осуществляет оценку эффективности использования трансферта путем сравнения установленных сог</w:t>
      </w:r>
      <w:r>
        <w:t>лашением и фактически достигнутых по итогам отчетного года значений показателей результативности использования трансферта.</w:t>
      </w:r>
    </w:p>
    <w:p w:rsidR="004C185F" w:rsidRDefault="0039467F">
      <w:pPr>
        <w:pStyle w:val="ConsPlusNormal"/>
        <w:spacing w:before="240"/>
        <w:ind w:firstLine="540"/>
        <w:jc w:val="both"/>
      </w:pPr>
      <w:r>
        <w:t>14. Муниципальные образования представляют ГРБС с применением программного комплекса:</w:t>
      </w:r>
    </w:p>
    <w:p w:rsidR="004C185F" w:rsidRDefault="0039467F">
      <w:pPr>
        <w:pStyle w:val="ConsPlusNormal"/>
        <w:spacing w:before="240"/>
        <w:ind w:firstLine="540"/>
        <w:jc w:val="both"/>
      </w:pPr>
      <w:r>
        <w:t>- отчет о расходах бюджета муниципального образования, в целях софинансирования которых предоставляется трансферт, по форме, установленной ГРБС, и в сроки, предусмотренные соглашением;</w:t>
      </w:r>
    </w:p>
    <w:p w:rsidR="004C185F" w:rsidRDefault="0039467F">
      <w:pPr>
        <w:pStyle w:val="ConsPlusNormal"/>
        <w:spacing w:before="240"/>
        <w:ind w:firstLine="540"/>
        <w:jc w:val="both"/>
      </w:pPr>
      <w:r>
        <w:t>- отчет о достижении значений показателей результативности использовани</w:t>
      </w:r>
      <w:r>
        <w:t>я предоставления трансферта и обязательствах, принятых в целях их достижения, по форме и в сроки, предусмотренные соглашением (посредством электронного документа "Справка").</w:t>
      </w:r>
    </w:p>
    <w:p w:rsidR="004C185F" w:rsidRDefault="0039467F">
      <w:pPr>
        <w:pStyle w:val="ConsPlusNormal"/>
        <w:spacing w:before="240"/>
        <w:ind w:firstLine="540"/>
        <w:jc w:val="both"/>
      </w:pPr>
      <w:r>
        <w:t xml:space="preserve">ГРБС вправе устанавливать в соглашении дополнительные формы отчетности и сроки их </w:t>
      </w:r>
      <w:r>
        <w:t>предоставления муниципальными образованиями.</w:t>
      </w:r>
    </w:p>
    <w:p w:rsidR="004C185F" w:rsidRDefault="0039467F">
      <w:pPr>
        <w:pStyle w:val="ConsPlusNormal"/>
        <w:spacing w:before="240"/>
        <w:ind w:firstLine="540"/>
        <w:jc w:val="both"/>
      </w:pPr>
      <w:r>
        <w:t>Отчеты по формам, установленным соглашением о реализации инфраструктурных проектов, источником финансового обеспечения расходов на реализацию которых являются бюджетные кредиты из федерального бюджета бюджетам с</w:t>
      </w:r>
      <w:r>
        <w:t>убъектов Российской Федерации на финансовое обеспечение реализации инфраструктурных проектов, на территории Мурманской области от 28.01.2022 N 12-74/с, предоставляются муниципальным образованием в Министерство развития Арктики и экономики Мурманской област</w:t>
      </w:r>
      <w:r>
        <w:t>и ежеквартально в срок до 15-го числа месяца, следующего за отчетным кварталом.</w:t>
      </w:r>
    </w:p>
    <w:p w:rsidR="004C185F" w:rsidRDefault="0039467F">
      <w:pPr>
        <w:pStyle w:val="ConsPlusNormal"/>
        <w:spacing w:before="240"/>
        <w:ind w:firstLine="540"/>
        <w:jc w:val="both"/>
      </w:pPr>
      <w:r>
        <w:t>15. Перечисление трансферта в местные бюджеты осуществляется в пределах суммы, необходимой для оплаты денежных обязательств по расходам получателей средств местного бюджета, ис</w:t>
      </w:r>
      <w:r>
        <w:t>точником финансового обеспечения которых является трансферт (далее - перечисление трансферта под фактическую потребность).</w:t>
      </w:r>
    </w:p>
    <w:p w:rsidR="004C185F" w:rsidRDefault="0039467F">
      <w:pPr>
        <w:pStyle w:val="ConsPlusNormal"/>
        <w:spacing w:before="240"/>
        <w:ind w:firstLine="540"/>
        <w:jc w:val="both"/>
      </w:pPr>
      <w:r>
        <w:t>Трансферт перечисляется на единые счета местных бюджетов, открытые финансовым органам муниципальных образований в территориальных орг</w:t>
      </w:r>
      <w:r>
        <w:t>анах Федерального казначейства для осуществления операций по исполнению местного бюджета, на лицевой счет соответствующего администратора доходов, уполномоченного на использование иного межбюджетного трансферта.</w:t>
      </w:r>
    </w:p>
    <w:p w:rsidR="004C185F" w:rsidRDefault="0039467F">
      <w:pPr>
        <w:pStyle w:val="ConsPlusNormal"/>
        <w:spacing w:before="240"/>
        <w:ind w:firstLine="540"/>
        <w:jc w:val="both"/>
      </w:pPr>
      <w:r>
        <w:t>Перечисление трансферта в бюджет муниципальн</w:t>
      </w:r>
      <w:r>
        <w:t>ого образования осуществляется на основании заявки на финансирование органа местного самоуправления муниципального образования по форме, установленной ГРБС.</w:t>
      </w:r>
    </w:p>
    <w:p w:rsidR="004C185F" w:rsidRDefault="0039467F">
      <w:pPr>
        <w:pStyle w:val="ConsPlusNormal"/>
        <w:spacing w:before="240"/>
        <w:ind w:firstLine="540"/>
        <w:jc w:val="both"/>
      </w:pPr>
      <w:r>
        <w:t>Трансферт носит целевой характер и не может быть использован на другие цели.</w:t>
      </w:r>
    </w:p>
    <w:p w:rsidR="004C185F" w:rsidRDefault="0039467F">
      <w:pPr>
        <w:pStyle w:val="ConsPlusNormal"/>
        <w:spacing w:before="240"/>
        <w:ind w:firstLine="540"/>
        <w:jc w:val="both"/>
      </w:pPr>
      <w:r>
        <w:t xml:space="preserve">16. Не использованные </w:t>
      </w:r>
      <w:r>
        <w:t>на 1 января текущего финансового года остатки трансферта подлежат возврату в доход областного бюджета в соответствии с требованиями, установленными Бюджетным кодексом Российской Федерации и нормативными правовыми актами Правительства Мурманской области.</w:t>
      </w:r>
    </w:p>
    <w:p w:rsidR="004C185F" w:rsidRDefault="0039467F">
      <w:pPr>
        <w:pStyle w:val="ConsPlusNormal"/>
        <w:spacing w:before="240"/>
        <w:ind w:firstLine="540"/>
        <w:jc w:val="both"/>
      </w:pPr>
      <w:r>
        <w:t>17. Потребность в неиспользованных остатках трансферта, перечисление которого осуществлялось под фактическую потребность, определяется в текущем финансовом году в соответствии с решением ГРБС.</w:t>
      </w:r>
    </w:p>
    <w:p w:rsidR="004C185F" w:rsidRDefault="0039467F">
      <w:pPr>
        <w:pStyle w:val="ConsPlusNormal"/>
        <w:spacing w:before="240"/>
        <w:ind w:firstLine="540"/>
        <w:jc w:val="both"/>
      </w:pPr>
      <w:r>
        <w:t xml:space="preserve">Внесение в установленном порядке изменений в сводную бюджетную </w:t>
      </w:r>
      <w:r>
        <w:t>роспись областного бюджета и лимиты бюджетных обязательств, предусматривающих увеличение бюджетных средств на предоставление из областного бюджета местным бюджетам иного межбюджетного трансферта, предоставление которого в отчетном финансовом году осуществл</w:t>
      </w:r>
      <w:r>
        <w:t>ялось под фактическую потребность, в объеме, не превышающем суммы остатка неиспользованных бюджетных ассигнований на указанные цели на начало текущего финансового года, осуществляется Министерством финансов Мурманской области на основании обращения, предст</w:t>
      </w:r>
      <w:r>
        <w:t>авленного ГРБС в Министерство финансов Мурманской области.</w:t>
      </w:r>
    </w:p>
    <w:p w:rsidR="004C185F" w:rsidRDefault="0039467F">
      <w:pPr>
        <w:pStyle w:val="ConsPlusNormal"/>
        <w:spacing w:before="240"/>
        <w:ind w:firstLine="540"/>
        <w:jc w:val="both"/>
      </w:pPr>
      <w:r>
        <w:t>18. В случае если в отчетном финансовом году муниципальным образованием допущены нарушения предусмотренных соглашением обязательств по достижению установленных значений показателей результативности</w:t>
      </w:r>
      <w:r>
        <w:t>, объем средств, подлежащих возврату в областной бюджет в срок до 1 июня года, следующего за годом предоставления трансферта, определяется по формуле:</w:t>
      </w:r>
    </w:p>
    <w:p w:rsidR="004C185F" w:rsidRDefault="004C185F">
      <w:pPr>
        <w:pStyle w:val="ConsPlusNormal"/>
        <w:jc w:val="both"/>
      </w:pPr>
    </w:p>
    <w:p w:rsidR="004C185F" w:rsidRDefault="0039467F">
      <w:pPr>
        <w:pStyle w:val="ConsPlusNormal"/>
        <w:jc w:val="center"/>
      </w:pPr>
      <w:r>
        <w:t>V</w:t>
      </w:r>
      <w:r>
        <w:rPr>
          <w:vertAlign w:val="subscript"/>
        </w:rPr>
        <w:t>возврата</w:t>
      </w:r>
      <w:r>
        <w:t xml:space="preserve"> = (V</w:t>
      </w:r>
      <w:r>
        <w:rPr>
          <w:vertAlign w:val="subscript"/>
        </w:rPr>
        <w:t>тр.i</w:t>
      </w:r>
      <w:r>
        <w:t xml:space="preserve"> x k x m / n), где:</w:t>
      </w:r>
    </w:p>
    <w:p w:rsidR="004C185F" w:rsidRDefault="004C185F">
      <w:pPr>
        <w:pStyle w:val="ConsPlusNormal"/>
        <w:jc w:val="both"/>
      </w:pPr>
    </w:p>
    <w:p w:rsidR="004C185F" w:rsidRDefault="0039467F">
      <w:pPr>
        <w:pStyle w:val="ConsPlusNormal"/>
        <w:ind w:firstLine="540"/>
        <w:jc w:val="both"/>
      </w:pPr>
      <w:r>
        <w:t>V</w:t>
      </w:r>
      <w:r>
        <w:rPr>
          <w:vertAlign w:val="subscript"/>
        </w:rPr>
        <w:t>тр.i</w:t>
      </w:r>
      <w:r>
        <w:t xml:space="preserve"> - размер трансферта, предоставленного i-му муниципальному о</w:t>
      </w:r>
      <w:r>
        <w:t>бразованию, без учета остатка трансферта, не использованного по состоянию на 1 января текущего финансового года;</w:t>
      </w:r>
    </w:p>
    <w:p w:rsidR="004C185F" w:rsidRDefault="0039467F">
      <w:pPr>
        <w:pStyle w:val="ConsPlusNormal"/>
        <w:spacing w:before="240"/>
        <w:ind w:firstLine="540"/>
        <w:jc w:val="both"/>
      </w:pPr>
      <w:r>
        <w:t>m - количество показателей результативности использования трансферта, по которым индекс, отражающий уровень недостижения i-го показателя резуль</w:t>
      </w:r>
      <w:r>
        <w:t>тативности предоставления трансферта, имеет положительное значение;</w:t>
      </w:r>
    </w:p>
    <w:p w:rsidR="004C185F" w:rsidRDefault="0039467F">
      <w:pPr>
        <w:pStyle w:val="ConsPlusNormal"/>
        <w:spacing w:before="240"/>
        <w:ind w:firstLine="540"/>
        <w:jc w:val="both"/>
      </w:pPr>
      <w:r>
        <w:t>n - общее количество показателей результативности использования трансферта;</w:t>
      </w:r>
    </w:p>
    <w:p w:rsidR="004C185F" w:rsidRDefault="0039467F">
      <w:pPr>
        <w:pStyle w:val="ConsPlusNormal"/>
        <w:spacing w:before="240"/>
        <w:ind w:firstLine="540"/>
        <w:jc w:val="both"/>
      </w:pPr>
      <w:r>
        <w:t>k - коэффициент возврата трансферта.</w:t>
      </w:r>
    </w:p>
    <w:p w:rsidR="004C185F" w:rsidRDefault="0039467F">
      <w:pPr>
        <w:pStyle w:val="ConsPlusNormal"/>
        <w:spacing w:before="240"/>
        <w:ind w:firstLine="540"/>
        <w:jc w:val="both"/>
      </w:pPr>
      <w:r>
        <w:t>Коэффициент возврата трансферта рассчитывается по формуле:</w:t>
      </w:r>
    </w:p>
    <w:p w:rsidR="004C185F" w:rsidRDefault="004C185F">
      <w:pPr>
        <w:pStyle w:val="ConsPlusNormal"/>
        <w:jc w:val="both"/>
      </w:pPr>
    </w:p>
    <w:p w:rsidR="004C185F" w:rsidRPr="002C191D" w:rsidRDefault="0039467F">
      <w:pPr>
        <w:pStyle w:val="ConsPlusNormal"/>
        <w:jc w:val="center"/>
        <w:rPr>
          <w:lang w:val="en-US"/>
        </w:rPr>
      </w:pPr>
      <w:r w:rsidRPr="002C191D">
        <w:rPr>
          <w:lang w:val="en-US"/>
        </w:rPr>
        <w:t>k = SUM D</w:t>
      </w:r>
      <w:r w:rsidRPr="002C191D">
        <w:rPr>
          <w:vertAlign w:val="subscript"/>
          <w:lang w:val="en-US"/>
        </w:rPr>
        <w:t>i</w:t>
      </w:r>
      <w:r w:rsidRPr="002C191D">
        <w:rPr>
          <w:lang w:val="en-US"/>
        </w:rPr>
        <w:t xml:space="preserve"> / m,</w:t>
      </w:r>
      <w:r w:rsidRPr="002C191D">
        <w:rPr>
          <w:lang w:val="en-US"/>
        </w:rPr>
        <w:t xml:space="preserve"> </w:t>
      </w:r>
      <w:r>
        <w:t>где</w:t>
      </w:r>
      <w:r w:rsidRPr="002C191D">
        <w:rPr>
          <w:lang w:val="en-US"/>
        </w:rPr>
        <w:t>:</w:t>
      </w:r>
    </w:p>
    <w:p w:rsidR="004C185F" w:rsidRPr="002C191D" w:rsidRDefault="004C185F">
      <w:pPr>
        <w:pStyle w:val="ConsPlusNormal"/>
        <w:jc w:val="both"/>
        <w:rPr>
          <w:lang w:val="en-US"/>
        </w:rPr>
      </w:pPr>
    </w:p>
    <w:p w:rsidR="004C185F" w:rsidRDefault="0039467F">
      <w:pPr>
        <w:pStyle w:val="ConsPlusNormal"/>
        <w:ind w:firstLine="540"/>
        <w:jc w:val="both"/>
      </w:pPr>
      <w:r>
        <w:t>D</w:t>
      </w:r>
      <w:r>
        <w:rPr>
          <w:vertAlign w:val="subscript"/>
        </w:rPr>
        <w:t>i</w:t>
      </w:r>
      <w:r>
        <w:t xml:space="preserve"> - индекс, отражающий уровень недостижения i-го показателя результативности использования трансферта.</w:t>
      </w:r>
    </w:p>
    <w:p w:rsidR="004C185F" w:rsidRDefault="0039467F">
      <w:pPr>
        <w:pStyle w:val="ConsPlusNormal"/>
        <w:spacing w:before="240"/>
        <w:ind w:firstLine="540"/>
        <w:jc w:val="both"/>
      </w:pPr>
      <w:r>
        <w:t>При расчете коэффициента возврата трансферта используются только положительные значения индекса, отражающего уровень недостижения i-го показателя</w:t>
      </w:r>
      <w:r>
        <w:t xml:space="preserve"> результативности использования трансферта.</w:t>
      </w:r>
    </w:p>
    <w:p w:rsidR="004C185F" w:rsidRDefault="0039467F">
      <w:pPr>
        <w:pStyle w:val="ConsPlusNormal"/>
        <w:spacing w:before="240"/>
        <w:ind w:firstLine="540"/>
        <w:jc w:val="both"/>
      </w:pPr>
      <w:r>
        <w:t>Индекс, отражающий уровень недостижения i-го показателя результативности использования трансферта, определяется по формуле:</w:t>
      </w:r>
    </w:p>
    <w:p w:rsidR="004C185F" w:rsidRDefault="004C185F">
      <w:pPr>
        <w:pStyle w:val="ConsPlusNormal"/>
        <w:jc w:val="both"/>
      </w:pPr>
    </w:p>
    <w:p w:rsidR="004C185F" w:rsidRDefault="0039467F">
      <w:pPr>
        <w:pStyle w:val="ConsPlusNormal"/>
        <w:jc w:val="center"/>
      </w:pPr>
      <w:r>
        <w:t>D</w:t>
      </w:r>
      <w:r>
        <w:rPr>
          <w:vertAlign w:val="subscript"/>
        </w:rPr>
        <w:t>i</w:t>
      </w:r>
      <w:r>
        <w:t xml:space="preserve"> = 1 - T</w:t>
      </w:r>
      <w:r>
        <w:rPr>
          <w:vertAlign w:val="subscript"/>
        </w:rPr>
        <w:t>i</w:t>
      </w:r>
      <w:r>
        <w:t xml:space="preserve"> / S</w:t>
      </w:r>
      <w:r>
        <w:rPr>
          <w:vertAlign w:val="subscript"/>
        </w:rPr>
        <w:t>i</w:t>
      </w:r>
      <w:r>
        <w:t>, где:</w:t>
      </w:r>
    </w:p>
    <w:p w:rsidR="004C185F" w:rsidRDefault="004C185F">
      <w:pPr>
        <w:pStyle w:val="ConsPlusNormal"/>
        <w:jc w:val="both"/>
      </w:pPr>
    </w:p>
    <w:p w:rsidR="004C185F" w:rsidRDefault="0039467F">
      <w:pPr>
        <w:pStyle w:val="ConsPlusNormal"/>
        <w:ind w:firstLine="540"/>
        <w:jc w:val="both"/>
      </w:pPr>
      <w:r>
        <w:t>T</w:t>
      </w:r>
      <w:r>
        <w:rPr>
          <w:vertAlign w:val="subscript"/>
        </w:rPr>
        <w:t>i</w:t>
      </w:r>
      <w:r>
        <w:t xml:space="preserve"> - фактически достигнутое значение i-го показателя результати</w:t>
      </w:r>
      <w:r>
        <w:t>вности использования трансферта на отчетную дату;</w:t>
      </w:r>
    </w:p>
    <w:p w:rsidR="004C185F" w:rsidRDefault="0039467F">
      <w:pPr>
        <w:pStyle w:val="ConsPlusNormal"/>
        <w:spacing w:before="240"/>
        <w:ind w:firstLine="540"/>
        <w:jc w:val="both"/>
      </w:pPr>
      <w:r>
        <w:t>S</w:t>
      </w:r>
      <w:r>
        <w:rPr>
          <w:vertAlign w:val="subscript"/>
        </w:rPr>
        <w:t>i</w:t>
      </w:r>
      <w:r>
        <w:t xml:space="preserve"> - плановое значение i-го показателя результативности использования трансферта, установленное соглашением.</w:t>
      </w:r>
    </w:p>
    <w:p w:rsidR="004C185F" w:rsidRDefault="0039467F">
      <w:pPr>
        <w:pStyle w:val="ConsPlusNormal"/>
        <w:spacing w:before="240"/>
        <w:ind w:firstLine="540"/>
        <w:jc w:val="both"/>
      </w:pPr>
      <w:r>
        <w:t>19. В случае если муниципальным образованием по состоянию на 31 декабря года предоставления транс</w:t>
      </w:r>
      <w:r>
        <w:t>ферта допущены нарушения обязательства муниципального образования по соблюдению срока выполнения мероприятий, установленного Детализированным перечнем мероприятий, объем средств, соответствующий 1 проценту объема средств, предусмотренного на год, в котором</w:t>
      </w:r>
      <w:r>
        <w:t xml:space="preserve"> допущены нарушения указанных обязательств, без учета размера остатка трансферта, не использованного по состоянию на 1 января текущего финансового года, подлежит возврату из местного бюджета в доход областного бюджета в срок до 1 июня года, следующего за г</w:t>
      </w:r>
      <w:r>
        <w:t>одом предоставления трансферта.</w:t>
      </w:r>
    </w:p>
    <w:p w:rsidR="004C185F" w:rsidRDefault="0039467F">
      <w:pPr>
        <w:pStyle w:val="ConsPlusNormal"/>
        <w:spacing w:before="240"/>
        <w:ind w:firstLine="540"/>
        <w:jc w:val="both"/>
      </w:pPr>
      <w:r>
        <w:t>20. Расчет объема средств, подлежащих возврату из местного бюджета в областной бюджет, осуществляется отдельно для каждого мероприятия, в отношении которого допущены нарушения обязательств по достижению установленных значени</w:t>
      </w:r>
      <w:r>
        <w:t>й показателей результативности, предусмотренных соглашением, и соблюдению срока выполнения мероприятий, установленного Детализированным перечнем мероприятий.</w:t>
      </w:r>
    </w:p>
    <w:p w:rsidR="004C185F" w:rsidRDefault="0039467F">
      <w:pPr>
        <w:pStyle w:val="ConsPlusNormal"/>
        <w:spacing w:before="240"/>
        <w:ind w:firstLine="540"/>
        <w:jc w:val="both"/>
      </w:pPr>
      <w:r>
        <w:t>Общий объем средств, подлежащих возврату, определяется как сумма объемов средств, подлежащих возвр</w:t>
      </w:r>
      <w:r>
        <w:t>ату в соответствии с настоящим пунктом, для каждого мероприятия, в отношении которого были допущены нарушения.</w:t>
      </w:r>
    </w:p>
    <w:p w:rsidR="004C185F" w:rsidRDefault="0039467F">
      <w:pPr>
        <w:pStyle w:val="ConsPlusNormal"/>
        <w:spacing w:before="240"/>
        <w:ind w:firstLine="540"/>
        <w:jc w:val="both"/>
      </w:pPr>
      <w:r>
        <w:t>Требование о возврате трансферта направляется ГРБС главе администрации (руководителю исполнительно-распорядительного органа) муниципального образ</w:t>
      </w:r>
      <w:r>
        <w:t>ования в течение 30 рабочих дней со дня обнаружения нарушения, связанного с исполнением обязательств по обеспечению достижения значений результатов предоставления трансферта, предусмотренных соглашением.</w:t>
      </w:r>
    </w:p>
    <w:p w:rsidR="004C185F" w:rsidRDefault="0039467F">
      <w:pPr>
        <w:pStyle w:val="ConsPlusNormal"/>
        <w:spacing w:before="240"/>
        <w:ind w:firstLine="540"/>
        <w:jc w:val="both"/>
      </w:pPr>
      <w:r>
        <w:t>21. Основанием для освоб</w:t>
      </w:r>
      <w:r>
        <w:t>ождения муниципальных образований от применения мер ответственности, предусмотренных настоящими Правилами, является документально подтвержденное наступление следующих обстоятельств непреодолимой силы, препятствующих исполнению соответствующих обязательств:</w:t>
      </w:r>
    </w:p>
    <w:p w:rsidR="004C185F" w:rsidRDefault="0039467F">
      <w:pPr>
        <w:pStyle w:val="ConsPlusNormal"/>
        <w:spacing w:before="240"/>
        <w:ind w:firstLine="540"/>
        <w:jc w:val="both"/>
      </w:pPr>
      <w:r>
        <w:t>1) установление регионального (межмуниципального) и (или) местного уровня реагирования на чрезвычайную ситуацию, подтвержденное правовым актом органа государственной власти Мурманской области и (или) органа местного самоуправления;</w:t>
      </w:r>
    </w:p>
    <w:p w:rsidR="004C185F" w:rsidRDefault="0039467F">
      <w:pPr>
        <w:pStyle w:val="ConsPlusNormal"/>
        <w:spacing w:before="240"/>
        <w:ind w:firstLine="540"/>
        <w:jc w:val="both"/>
      </w:pPr>
      <w:r>
        <w:t>2) установление каранти</w:t>
      </w:r>
      <w:r>
        <w:t>на и (или) иных ограничений, направленных на предотвращение распространения и ликвидацию очагов заразных и иных болезней животных, подтвержденное правовым актом органа государственной власти Мурманской области;</w:t>
      </w:r>
    </w:p>
    <w:p w:rsidR="004C185F" w:rsidRDefault="0039467F">
      <w:pPr>
        <w:pStyle w:val="ConsPlusNormal"/>
        <w:spacing w:before="240"/>
        <w:ind w:firstLine="540"/>
        <w:jc w:val="both"/>
      </w:pPr>
      <w:r>
        <w:t>3) аномальные погодные условия, подтвержденны</w:t>
      </w:r>
      <w:r>
        <w:t>е справкой территориального органа федерального органа исполнительной власти, осуществляющего функции по оказанию государственных услуг в области гидрометеорологии и смежных с ней областях;</w:t>
      </w:r>
    </w:p>
    <w:p w:rsidR="004C185F" w:rsidRDefault="0039467F">
      <w:pPr>
        <w:pStyle w:val="ConsPlusNormal"/>
        <w:spacing w:before="240"/>
        <w:ind w:firstLine="540"/>
        <w:jc w:val="both"/>
      </w:pPr>
      <w:r>
        <w:t>4) наличие вступившего в законную силу в году предоставления транс</w:t>
      </w:r>
      <w:r>
        <w:t>ферта решения арбитражного суда о признании несостоятельной (банкротом) организации, деятельность которой оказывала влияние на исполнение обязательств по достижению установленных значений показателей результативности, соблюдению срока выполнения мероприяти</w:t>
      </w:r>
      <w:r>
        <w:t>й, предусмотренных соглашением.</w:t>
      </w:r>
    </w:p>
    <w:p w:rsidR="004C185F" w:rsidRDefault="0039467F">
      <w:pPr>
        <w:pStyle w:val="ConsPlusNormal"/>
        <w:spacing w:before="240"/>
        <w:ind w:firstLine="540"/>
        <w:jc w:val="both"/>
      </w:pPr>
      <w:r>
        <w:t>22. Муниципальное образование несет ответственность за нецелевое и неэффективное использование трансферта, за нарушение условий, установленных настоящими Правилами, за недостоверность отчетов и сведений, предоставляемых ГРБС</w:t>
      </w:r>
      <w:r>
        <w:t xml:space="preserve"> в соответствии с настоящими Правилами.</w:t>
      </w:r>
    </w:p>
    <w:p w:rsidR="004C185F" w:rsidRDefault="0039467F">
      <w:pPr>
        <w:pStyle w:val="ConsPlusNormal"/>
        <w:spacing w:before="240"/>
        <w:ind w:firstLine="540"/>
        <w:jc w:val="both"/>
      </w:pPr>
      <w:r>
        <w:t>23. В случае нарушения муниципальным образованием целей, установленных при предоставлении трансферта, к нему применяются бюджетные меры принуждения, предусмотренные бюджетным законодательством Российской Федерации.</w:t>
      </w:r>
    </w:p>
    <w:p w:rsidR="004C185F" w:rsidRDefault="0039467F">
      <w:pPr>
        <w:pStyle w:val="ConsPlusNormal"/>
        <w:spacing w:before="240"/>
        <w:ind w:firstLine="540"/>
        <w:jc w:val="both"/>
      </w:pPr>
      <w:r>
        <w:t>2</w:t>
      </w:r>
      <w:r>
        <w:t>4. Контроль за соблюдением муниципальным образованием условий, целей и порядка предоставления трансферта осуществляется ГРБС и органами государственного финансового контроля Мурманской области.</w:t>
      </w:r>
    </w:p>
    <w:p w:rsidR="004C185F" w:rsidRDefault="0039467F">
      <w:pPr>
        <w:pStyle w:val="ConsPlusNormal"/>
      </w:pPr>
      <w:r>
        <w:rPr>
          <w:i/>
        </w:rPr>
        <w:br/>
      </w:r>
      <w:r>
        <w:rPr>
          <w:i/>
        </w:rPr>
        <w:t>Постановление Правительства Мурманской области от 11.11.2020 N 780-ПП (ред. от 17.09.2025) "Об утверждении государственной программы Мурманской области "Экономический потенциал" {КонсультантПлюс}</w:t>
      </w:r>
      <w:r>
        <w:br/>
      </w:r>
    </w:p>
    <w:sectPr w:rsidR="004C185F">
      <w:pgSz w:w="11906" w:h="16838"/>
      <w:pgMar w:top="1440" w:right="566" w:bottom="1440" w:left="1133" w:header="0" w:footer="0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467F" w:rsidRDefault="0039467F">
      <w:pPr>
        <w:pStyle w:val="ConsPlusNormal"/>
      </w:pPr>
      <w:r>
        <w:separator/>
      </w:r>
    </w:p>
  </w:endnote>
  <w:endnote w:type="continuationSeparator" w:id="0">
    <w:p w:rsidR="0039467F" w:rsidRDefault="0039467F">
      <w:pPr>
        <w:pStyle w:val="ConsPlusNormal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467F" w:rsidRDefault="0039467F">
      <w:pPr>
        <w:pStyle w:val="ConsPlusNormal"/>
      </w:pPr>
      <w:r>
        <w:separator/>
      </w:r>
    </w:p>
  </w:footnote>
  <w:footnote w:type="continuationSeparator" w:id="0">
    <w:p w:rsidR="0039467F" w:rsidRDefault="0039467F">
      <w:pPr>
        <w:pStyle w:val="ConsPlusNormal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85F"/>
    <w:rsid w:val="000475D5"/>
    <w:rsid w:val="002C191D"/>
    <w:rsid w:val="0039467F"/>
    <w:rsid w:val="004C1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E5EC9B-4A22-4C85-A50D-46A6FE94B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customStyle="1" w:styleId="ConsPlusNormal">
    <w:name w:val="ConsPlusNormal"/>
    <w:pPr>
      <w:widowControl w:val="0"/>
    </w:pPr>
    <w:rPr>
      <w:sz w:val="24"/>
    </w:rPr>
  </w:style>
  <w:style w:type="paragraph" w:customStyle="1" w:styleId="ConsPlusNonformat">
    <w:name w:val="ConsPlusNonformat"/>
    <w:pPr>
      <w:widowControl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</w:pPr>
    <w:rPr>
      <w:rFonts w:ascii="Courier New" w:hAnsi="Courier New" w:cs="Courier New"/>
    </w:rPr>
  </w:style>
  <w:style w:type="paragraph" w:customStyle="1" w:styleId="ConsPlusDocList">
    <w:name w:val="ConsPlusDocList"/>
    <w:pPr>
      <w:widowControl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</w:pPr>
    <w:rPr>
      <w:rFonts w:ascii="Tahoma" w:hAnsi="Tahoma" w:cs="Tahoma"/>
    </w:rPr>
  </w:style>
  <w:style w:type="paragraph" w:customStyle="1" w:styleId="ConsPlusJurTerm">
    <w:name w:val="ConsPlusJurTerm"/>
    <w:pPr>
      <w:widowControl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</w:pPr>
    <w:rPr>
      <w:sz w:val="24"/>
    </w:rPr>
  </w:style>
  <w:style w:type="paragraph" w:customStyle="1" w:styleId="ConsPlusTextList0">
    <w:name w:val="ConsPlusTextList"/>
    <w:pPr>
      <w:widowControl w:val="0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2545</Words>
  <Characters>14511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Мурманской области от 11.11.2020 N 780-ПП
(ред. от 17.09.2025)
"Об утверждении государственной программы Мурманской области "Экономический потенциал"</vt:lpstr>
    </vt:vector>
  </TitlesOfParts>
  <Company>КонсультантПлюс Версия 4024.00.50</Company>
  <LinksUpToDate>false</LinksUpToDate>
  <CharactersWithSpaces>17022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Мурманской области от 11.11.2020 N 780-ПП
(ред. от 17.09.2025)
"Об утверждении государственной программы Мурманской области "Экономический потенциал"</dc:title>
  <dc:creator>Рахматулаева Е.А.</dc:creator>
  <cp:lastModifiedBy>Рахматулаева Е.А.</cp:lastModifiedBy>
  <cp:revision>3</cp:revision>
  <dcterms:created xsi:type="dcterms:W3CDTF">2025-10-27T09:34:00Z</dcterms:created>
  <dcterms:modified xsi:type="dcterms:W3CDTF">2025-10-27T11:12:00Z</dcterms:modified>
</cp:coreProperties>
</file>